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3DC2F7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1C25A6">
        <w:t xml:space="preserve"> </w:t>
      </w:r>
      <w:r w:rsidR="00230ABF">
        <w:t>ah-1901</w:t>
      </w:r>
      <w:r w:rsidRPr="00CE0424">
        <w:tab/>
      </w:r>
      <w:r w:rsidR="00091557" w:rsidRPr="00CE0424">
        <w:rPr>
          <w:sz w:val="32"/>
          <w:szCs w:val="32"/>
        </w:rPr>
        <w:t>R</w:t>
      </w:r>
      <w:r w:rsidR="008F1C4E">
        <w:rPr>
          <w:sz w:val="32"/>
          <w:szCs w:val="32"/>
        </w:rPr>
        <w:t>1</w:t>
      </w:r>
      <w:r w:rsidR="00091557" w:rsidRPr="00CE0424">
        <w:rPr>
          <w:sz w:val="32"/>
          <w:szCs w:val="32"/>
        </w:rPr>
        <w:t>-</w:t>
      </w:r>
      <w:r w:rsidR="007E41CC" w:rsidRPr="007E41CC">
        <w:rPr>
          <w:sz w:val="32"/>
          <w:szCs w:val="32"/>
        </w:rPr>
        <w:t>1901225</w:t>
      </w:r>
    </w:p>
    <w:p w14:paraId="51C3D3E7" w14:textId="7F9C1276" w:rsidR="00E90E49" w:rsidRPr="00230ABF" w:rsidRDefault="00230ABF" w:rsidP="00311702">
      <w:pPr>
        <w:pStyle w:val="3GPPHeader"/>
      </w:pPr>
      <w:r>
        <w:t>Taipei, Taiwan</w:t>
      </w:r>
      <w:r w:rsidR="00486F1D">
        <w:t xml:space="preserve">, </w:t>
      </w:r>
      <w:r>
        <w:t>January</w:t>
      </w:r>
      <w:r w:rsidR="00CE0BF7" w:rsidRPr="00CE0BF7">
        <w:t xml:space="preserve"> </w:t>
      </w:r>
      <w:r>
        <w:t>21</w:t>
      </w:r>
      <w:r>
        <w:rPr>
          <w:vertAlign w:val="superscript"/>
        </w:rPr>
        <w:t>st</w:t>
      </w:r>
      <w:r>
        <w:t xml:space="preserve"> </w:t>
      </w:r>
      <w:r w:rsidR="00CE0BF7" w:rsidRPr="00CE0BF7">
        <w:t xml:space="preserve">– </w:t>
      </w:r>
      <w:r>
        <w:t>25</w:t>
      </w:r>
      <w:r w:rsidR="00CE0BF7" w:rsidRPr="00CE0BF7">
        <w:rPr>
          <w:vertAlign w:val="superscript"/>
        </w:rPr>
        <w:t>th</w:t>
      </w:r>
      <w:r w:rsidR="00C37CB2" w:rsidRPr="00CE0BF7">
        <w:t xml:space="preserve"> </w:t>
      </w:r>
      <w:r w:rsidR="0027144F" w:rsidRPr="00CE0BF7">
        <w:t>20</w:t>
      </w:r>
      <w:r w:rsidR="005F3025" w:rsidRPr="00CE0BF7">
        <w:t>1</w:t>
      </w:r>
      <w:r>
        <w:t>9</w:t>
      </w:r>
      <w:r w:rsidR="00BB09C0">
        <w:tab/>
        <w:t>(Revision of</w:t>
      </w:r>
      <w:r w:rsidR="00BB09C0" w:rsidRPr="00BB09C0">
        <w:t xml:space="preserve"> R1-1813642</w:t>
      </w:r>
      <w:r w:rsidR="00BB09C0">
        <w:t xml:space="preserve">) </w:t>
      </w:r>
    </w:p>
    <w:p w14:paraId="60A5317D" w14:textId="77777777" w:rsidR="00E90E49" w:rsidRPr="00CE0424" w:rsidRDefault="00E90E49" w:rsidP="00357380">
      <w:pPr>
        <w:pStyle w:val="3GPPHeader"/>
      </w:pPr>
    </w:p>
    <w:p w14:paraId="3C6869D1" w14:textId="6725CC62" w:rsidR="00E90E49" w:rsidRPr="00B909DC" w:rsidRDefault="00E90E49" w:rsidP="00311702">
      <w:pPr>
        <w:pStyle w:val="3GPPHeader"/>
        <w:rPr>
          <w:sz w:val="22"/>
          <w:szCs w:val="22"/>
        </w:rPr>
      </w:pPr>
      <w:r w:rsidRPr="00FA41D5">
        <w:rPr>
          <w:sz w:val="22"/>
          <w:szCs w:val="22"/>
          <w:lang w:val="en-US"/>
        </w:rPr>
        <w:t>Agenda Item:</w:t>
      </w:r>
      <w:r w:rsidRPr="00FA41D5">
        <w:rPr>
          <w:sz w:val="22"/>
          <w:szCs w:val="22"/>
          <w:lang w:val="en-US"/>
        </w:rPr>
        <w:tab/>
      </w:r>
      <w:r w:rsidR="00B909DC">
        <w:rPr>
          <w:sz w:val="22"/>
          <w:szCs w:val="22"/>
        </w:rPr>
        <w:t>7.2.4.1.5</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081DE07" w:rsidR="00E90E49" w:rsidRPr="00CE0424" w:rsidRDefault="003D3C45" w:rsidP="00311702">
      <w:pPr>
        <w:pStyle w:val="3GPPHeader"/>
        <w:rPr>
          <w:sz w:val="22"/>
          <w:szCs w:val="22"/>
        </w:rPr>
      </w:pPr>
      <w:r>
        <w:rPr>
          <w:sz w:val="22"/>
          <w:szCs w:val="22"/>
        </w:rPr>
        <w:t>Title:</w:t>
      </w:r>
      <w:r w:rsidR="00E90E49" w:rsidRPr="00CE0424">
        <w:rPr>
          <w:sz w:val="22"/>
          <w:szCs w:val="22"/>
        </w:rPr>
        <w:tab/>
      </w:r>
      <w:r w:rsidR="00C2389F">
        <w:rPr>
          <w:sz w:val="22"/>
          <w:szCs w:val="22"/>
        </w:rPr>
        <w:t xml:space="preserve">On the </w:t>
      </w:r>
      <w:r w:rsidR="00F225AE">
        <w:rPr>
          <w:sz w:val="22"/>
          <w:szCs w:val="22"/>
        </w:rPr>
        <w:t>NR sidelink</w:t>
      </w:r>
      <w:r w:rsidR="00C2389F">
        <w:rPr>
          <w:sz w:val="22"/>
          <w:szCs w:val="22"/>
        </w:rPr>
        <w:t xml:space="preserve"> discovery</w:t>
      </w:r>
      <w:r w:rsidR="00F225AE">
        <w:rPr>
          <w:sz w:val="22"/>
          <w:szCs w:val="22"/>
        </w:rPr>
        <w:t xml:space="preserve"> </w:t>
      </w:r>
    </w:p>
    <w:p w14:paraId="58D4CB5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30088">
        <w:rPr>
          <w:sz w:val="22"/>
          <w:szCs w:val="22"/>
        </w:rPr>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F57ECCB" w14:textId="77777777" w:rsidR="00C14A7A" w:rsidRPr="00905D9E" w:rsidRDefault="00C14A7A" w:rsidP="00C14A7A">
      <w:pPr>
        <w:pStyle w:val="BodyText"/>
        <w:rPr>
          <w:lang w:val="en-US"/>
        </w:rPr>
      </w:pPr>
      <w:r w:rsidRPr="00905D9E">
        <w:rPr>
          <w:lang w:val="en-US"/>
        </w:rPr>
        <w:t>In RAN#80, a study item on NR V2X is approved [1]. Among others, one objective of the study item is to study the necessary enhancements related to</w:t>
      </w:r>
      <w:r>
        <w:rPr>
          <w:lang w:val="en-US"/>
        </w:rPr>
        <w:t xml:space="preserve"> support of sidelink unicast, sidelink groupcast and sidelink broadcast</w:t>
      </w:r>
      <w:r w:rsidRPr="00905D9E">
        <w:rPr>
          <w:lang w:val="en-US"/>
        </w:rPr>
        <w:t>, which is given as below:</w:t>
      </w:r>
    </w:p>
    <w:tbl>
      <w:tblPr>
        <w:tblStyle w:val="TableGrid"/>
        <w:tblW w:w="0" w:type="auto"/>
        <w:tblLook w:val="04A0" w:firstRow="1" w:lastRow="0" w:firstColumn="1" w:lastColumn="0" w:noHBand="0" w:noVBand="1"/>
      </w:tblPr>
      <w:tblGrid>
        <w:gridCol w:w="9629"/>
      </w:tblGrid>
      <w:tr w:rsidR="00C14A7A" w:rsidRPr="006F4CAA" w14:paraId="0CCA8F8F" w14:textId="77777777" w:rsidTr="00785F2B">
        <w:tc>
          <w:tcPr>
            <w:tcW w:w="9629" w:type="dxa"/>
          </w:tcPr>
          <w:p w14:paraId="0B23E63D" w14:textId="77777777" w:rsidR="00C14A7A" w:rsidRDefault="00C14A7A" w:rsidP="00C14A7A">
            <w:pPr>
              <w:numPr>
                <w:ilvl w:val="0"/>
                <w:numId w:val="31"/>
              </w:numPr>
              <w:overflowPunct/>
              <w:autoSpaceDE/>
              <w:autoSpaceDN/>
              <w:adjustRightInd/>
              <w:spacing w:after="160" w:line="259" w:lineRule="auto"/>
              <w:textAlignment w:val="auto"/>
              <w:rPr>
                <w:lang w:val="en-US" w:eastAsia="ko-KR"/>
              </w:rPr>
            </w:pPr>
            <w:r>
              <w:rPr>
                <w:lang w:val="en-US" w:eastAsia="ko-KR"/>
              </w:rPr>
              <w:t xml:space="preserve">Identify technical solutions for a NR sidelink design to meet the requirements of advanced V2X services, including </w:t>
            </w:r>
          </w:p>
          <w:p w14:paraId="7B44785D" w14:textId="77777777" w:rsidR="00C14A7A" w:rsidRPr="00305CE8" w:rsidRDefault="00C14A7A" w:rsidP="00C14A7A">
            <w:pPr>
              <w:pStyle w:val="ListParagraph"/>
              <w:numPr>
                <w:ilvl w:val="0"/>
                <w:numId w:val="32"/>
              </w:numPr>
              <w:overflowPunct/>
              <w:autoSpaceDE/>
              <w:autoSpaceDN/>
              <w:adjustRightInd/>
              <w:spacing w:after="160" w:line="252" w:lineRule="auto"/>
              <w:contextualSpacing/>
              <w:textAlignment w:val="auto"/>
              <w:rPr>
                <w:rFonts w:ascii="Times New Roman" w:hAnsi="Times New Roman"/>
                <w:sz w:val="20"/>
                <w:szCs w:val="20"/>
                <w:lang w:val="en-US" w:eastAsia="ko-KR"/>
              </w:rPr>
            </w:pPr>
            <w:r>
              <w:rPr>
                <w:rFonts w:ascii="Times New Roman" w:hAnsi="Times New Roman"/>
                <w:sz w:val="20"/>
                <w:szCs w:val="20"/>
              </w:rPr>
              <w:t>Study the support of s</w:t>
            </w:r>
            <w:r>
              <w:rPr>
                <w:rFonts w:ascii="Times New Roman" w:hAnsi="Times New Roman"/>
                <w:sz w:val="20"/>
                <w:szCs w:val="20"/>
                <w:lang w:eastAsia="zh-CN"/>
              </w:rPr>
              <w:t>idelink</w:t>
            </w:r>
            <w:r>
              <w:rPr>
                <w:rFonts w:ascii="Times New Roman" w:hAnsi="Times New Roman"/>
                <w:sz w:val="20"/>
                <w:szCs w:val="20"/>
              </w:rPr>
              <w:t xml:space="preserve"> unicast, sidelink groupcast and sidelink broadcast</w:t>
            </w:r>
          </w:p>
        </w:tc>
      </w:tr>
    </w:tbl>
    <w:p w14:paraId="51F21985" w14:textId="77777777" w:rsidR="00C14A7A" w:rsidRPr="009A14D8" w:rsidRDefault="00C14A7A" w:rsidP="00C14A7A">
      <w:pPr>
        <w:pStyle w:val="BodyText"/>
        <w:spacing w:before="240"/>
        <w:rPr>
          <w:lang w:val="en-US"/>
        </w:rPr>
      </w:pPr>
      <w:r>
        <w:rPr>
          <w:lang w:val="en-US"/>
        </w:rPr>
        <w:t>In this</w:t>
      </w:r>
      <w:r w:rsidRPr="004D32AA">
        <w:rPr>
          <w:lang w:val="en-US"/>
        </w:rPr>
        <w:t xml:space="preserve"> paper</w:t>
      </w:r>
      <w:r>
        <w:rPr>
          <w:lang w:val="en-US"/>
        </w:rPr>
        <w:t>, we</w:t>
      </w:r>
      <w:r w:rsidRPr="004D32AA">
        <w:rPr>
          <w:lang w:val="en-US"/>
        </w:rPr>
        <w:t xml:space="preserve"> </w:t>
      </w:r>
      <w:r>
        <w:rPr>
          <w:lang w:val="en-US"/>
        </w:rPr>
        <w:t>discu</w:t>
      </w:r>
      <w:bookmarkStart w:id="0" w:name="_GoBack"/>
      <w:bookmarkEnd w:id="0"/>
      <w:r>
        <w:rPr>
          <w:lang w:val="en-US"/>
        </w:rPr>
        <w:t xml:space="preserve">ss the NR sidelink discovery procedures to enable sidelink unicast and sidelink groupcast communications for ITS (Intelligent Transport System) </w:t>
      </w:r>
      <w:r w:rsidRPr="004D32AA">
        <w:rPr>
          <w:lang w:val="en-US"/>
        </w:rPr>
        <w:t>advance</w:t>
      </w:r>
      <w:r>
        <w:rPr>
          <w:lang w:val="en-US"/>
        </w:rPr>
        <w:t>d</w:t>
      </w:r>
      <w:r w:rsidRPr="004D32AA">
        <w:rPr>
          <w:lang w:val="en-US"/>
        </w:rPr>
        <w:t xml:space="preserve"> use case requirements. </w:t>
      </w:r>
    </w:p>
    <w:p w14:paraId="732A0549" w14:textId="0A8D0050" w:rsidR="00CB332D" w:rsidRPr="00CB332D" w:rsidRDefault="00230D18" w:rsidP="00CB332D">
      <w:pPr>
        <w:pStyle w:val="Heading1"/>
      </w:pPr>
      <w:bookmarkStart w:id="1" w:name="_Ref178064866"/>
      <w:r>
        <w:t>2</w:t>
      </w:r>
      <w:r>
        <w:tab/>
      </w:r>
      <w:bookmarkEnd w:id="1"/>
      <w:r w:rsidR="00F413F0">
        <w:t>Discussion</w:t>
      </w:r>
    </w:p>
    <w:p w14:paraId="5ADBC940" w14:textId="0FB5D322" w:rsidR="00CB332D" w:rsidRDefault="00CB332D" w:rsidP="00CB332D">
      <w:pPr>
        <w:pStyle w:val="Heading2"/>
      </w:pPr>
      <w:r>
        <w:t xml:space="preserve">2.1       </w:t>
      </w:r>
      <w:r w:rsidR="006B64EB">
        <w:t xml:space="preserve">Sidelink </w:t>
      </w:r>
      <w:r>
        <w:t>discovery</w:t>
      </w:r>
      <w:r w:rsidR="006B64EB">
        <w:t xml:space="preserve"> procedures </w:t>
      </w:r>
    </w:p>
    <w:p w14:paraId="49593A79" w14:textId="77777777" w:rsidR="00CB332D" w:rsidRDefault="00CB332D" w:rsidP="00CB332D">
      <w:pPr>
        <w:jc w:val="both"/>
        <w:rPr>
          <w:rFonts w:ascii="Arial" w:hAnsi="Arial" w:cs="Arial"/>
        </w:rPr>
      </w:pPr>
      <w:r>
        <w:rPr>
          <w:rFonts w:ascii="Arial" w:hAnsi="Arial" w:cs="Arial"/>
        </w:rPr>
        <w:t xml:space="preserve">A discovery procedure was introduced in Rel.12 in the context of D2D ProSe to allow a UE to discover surrounding UEs interested in the same ProSe application. The D2D discovery procedure has been specified in SA2, and it is essentially a procedure which is carried out at higher layers </w:t>
      </w:r>
      <w:r w:rsidRPr="00353878">
        <w:rPr>
          <w:rFonts w:ascii="Arial" w:hAnsi="Arial" w:cs="Arial"/>
        </w:rPr>
        <w:t>[2]</w:t>
      </w:r>
      <w:r>
        <w:rPr>
          <w:rFonts w:ascii="Arial" w:hAnsi="Arial" w:cs="Arial"/>
        </w:rPr>
        <w:t>.</w:t>
      </w:r>
      <w:r w:rsidRPr="00353878">
        <w:rPr>
          <w:rFonts w:ascii="Arial" w:hAnsi="Arial" w:cs="Arial"/>
        </w:rPr>
        <w:t xml:space="preserve"> </w:t>
      </w:r>
      <w:r>
        <w:rPr>
          <w:rFonts w:ascii="Arial" w:hAnsi="Arial" w:cs="Arial"/>
        </w:rPr>
        <w:t>SA2 also defined different discovery models, such as:</w:t>
      </w:r>
    </w:p>
    <w:p w14:paraId="7F250028" w14:textId="77777777" w:rsidR="00CB332D" w:rsidRPr="00FA41D5" w:rsidRDefault="00CB332D" w:rsidP="00FA41D5">
      <w:pPr>
        <w:numPr>
          <w:ilvl w:val="0"/>
          <w:numId w:val="29"/>
        </w:numPr>
        <w:jc w:val="both"/>
        <w:rPr>
          <w:rFonts w:ascii="Arial" w:hAnsi="Arial" w:cs="Arial"/>
        </w:rPr>
      </w:pPr>
      <w:r w:rsidRPr="00FA41D5">
        <w:rPr>
          <w:rFonts w:ascii="Arial" w:hAnsi="Arial" w:cs="Arial"/>
        </w:rPr>
        <w:t>Model A (“I am here”) in which a UE announces in broadcast certain information that can be of interest for other UEs in the surroundings.</w:t>
      </w:r>
    </w:p>
    <w:p w14:paraId="4983F451" w14:textId="77777777" w:rsidR="00CB332D" w:rsidRDefault="00CB332D" w:rsidP="00CB332D">
      <w:pPr>
        <w:numPr>
          <w:ilvl w:val="0"/>
          <w:numId w:val="29"/>
        </w:numPr>
        <w:jc w:val="both"/>
        <w:rPr>
          <w:rFonts w:ascii="Arial" w:hAnsi="Arial" w:cs="Arial"/>
        </w:rPr>
      </w:pPr>
      <w:r>
        <w:rPr>
          <w:rFonts w:ascii="Arial" w:hAnsi="Arial" w:cs="Arial"/>
        </w:rPr>
        <w:t>Model B (</w:t>
      </w:r>
      <w:r w:rsidRPr="009B5190">
        <w:rPr>
          <w:rFonts w:ascii="Arial" w:hAnsi="Arial" w:cs="Arial"/>
        </w:rPr>
        <w:t>"who is there?" / "are you there?")</w:t>
      </w:r>
      <w:r>
        <w:rPr>
          <w:rFonts w:ascii="Arial" w:hAnsi="Arial" w:cs="Arial"/>
        </w:rPr>
        <w:t>, in which a UE transmits a request seeking for someone in the surroundings to provide a certain content, and another UE which is listening can respond providing the content of interest.</w:t>
      </w:r>
    </w:p>
    <w:p w14:paraId="6640B5F1" w14:textId="43D73265" w:rsidR="00CB332D" w:rsidRPr="00612074" w:rsidRDefault="00CB332D" w:rsidP="00CB332D">
      <w:pPr>
        <w:ind w:left="60"/>
        <w:jc w:val="both"/>
        <w:rPr>
          <w:rFonts w:ascii="Arial" w:hAnsi="Arial" w:cs="Arial"/>
        </w:rPr>
      </w:pPr>
      <w:r>
        <w:rPr>
          <w:rFonts w:ascii="Arial" w:hAnsi="Arial" w:cs="Arial"/>
        </w:rPr>
        <w:t xml:space="preserve">However, RAN impacts are quite limited, since the content of a discovery message is transparent to AS layer, and there is no different handling in AS for the two discovery models described above. The discovery message is delivered in a MAC PDU solely consisting of a MAC SDU with no header and with a fixed TBS of 232 bits. In </w:t>
      </w:r>
      <w:r>
        <w:rPr>
          <w:rFonts w:ascii="Arial" w:hAnsi="Arial" w:cs="Arial"/>
        </w:rPr>
        <w:fldChar w:fldCharType="begin"/>
      </w:r>
      <w:r>
        <w:rPr>
          <w:rFonts w:ascii="Arial" w:hAnsi="Arial" w:cs="Arial"/>
        </w:rPr>
        <w:instrText xml:space="preserve"> REF _Ref525493894 \r \h </w:instrText>
      </w:r>
      <w:r>
        <w:rPr>
          <w:rFonts w:ascii="Arial" w:hAnsi="Arial" w:cs="Arial"/>
        </w:rPr>
      </w:r>
      <w:r>
        <w:rPr>
          <w:rFonts w:ascii="Arial" w:hAnsi="Arial" w:cs="Arial"/>
        </w:rPr>
        <w:fldChar w:fldCharType="separate"/>
      </w:r>
      <w:r w:rsidR="007C32CB">
        <w:rPr>
          <w:rFonts w:ascii="Arial" w:hAnsi="Arial" w:cs="Arial"/>
        </w:rPr>
        <w:t>[3]</w:t>
      </w:r>
      <w:r>
        <w:rPr>
          <w:rFonts w:ascii="Arial" w:hAnsi="Arial" w:cs="Arial"/>
        </w:rPr>
        <w:fldChar w:fldCharType="end"/>
      </w:r>
      <w:r>
        <w:rPr>
          <w:rFonts w:ascii="Arial" w:hAnsi="Arial" w:cs="Arial"/>
        </w:rPr>
        <w:t>, it is stated that from SA2 perspective, the ProSe discovery procedure can be used by UE supporting V2X</w:t>
      </w:r>
      <w:r w:rsidR="00612074">
        <w:rPr>
          <w:rFonts w:ascii="Arial" w:hAnsi="Arial" w:cs="Arial"/>
        </w:rPr>
        <w:t>.</w:t>
      </w:r>
    </w:p>
    <w:p w14:paraId="5B90DBAE" w14:textId="77777777" w:rsidR="00CB332D" w:rsidRDefault="00CB332D" w:rsidP="00CB332D">
      <w:pPr>
        <w:pStyle w:val="Observation"/>
      </w:pPr>
      <w:bookmarkStart w:id="2" w:name="_Toc528876859"/>
      <w:bookmarkStart w:id="3" w:name="_Toc534993932"/>
      <w:r>
        <w:t>According to TS 23.285, the ProSe discovery can be used also in the context of V2X, if needed.</w:t>
      </w:r>
      <w:bookmarkEnd w:id="2"/>
      <w:bookmarkEnd w:id="3"/>
      <w:r>
        <w:t xml:space="preserve"> </w:t>
      </w:r>
    </w:p>
    <w:p w14:paraId="5F488916" w14:textId="0BE1F49C" w:rsidR="00CB332D" w:rsidRDefault="00CB332D" w:rsidP="00CB332D">
      <w:pPr>
        <w:ind w:left="60"/>
        <w:jc w:val="both"/>
      </w:pPr>
      <w:r>
        <w:rPr>
          <w:rFonts w:ascii="Arial" w:hAnsi="Arial" w:cs="Arial"/>
        </w:rPr>
        <w:lastRenderedPageBreak/>
        <w:t xml:space="preserve">In the context of ITS, ETSI has defined beaconing procedures that might resemble to some extent the 3GPP discovery procedures </w:t>
      </w:r>
      <w:r>
        <w:rPr>
          <w:rFonts w:ascii="Arial" w:hAnsi="Arial" w:cs="Arial"/>
        </w:rPr>
        <w:fldChar w:fldCharType="begin"/>
      </w:r>
      <w:r>
        <w:rPr>
          <w:rFonts w:ascii="Arial" w:hAnsi="Arial" w:cs="Arial"/>
        </w:rPr>
        <w:instrText xml:space="preserve"> REF _Ref525492340 \r \h </w:instrText>
      </w:r>
      <w:r>
        <w:rPr>
          <w:rFonts w:ascii="Arial" w:hAnsi="Arial" w:cs="Arial"/>
        </w:rPr>
      </w:r>
      <w:r>
        <w:rPr>
          <w:rFonts w:ascii="Arial" w:hAnsi="Arial" w:cs="Arial"/>
        </w:rPr>
        <w:fldChar w:fldCharType="separate"/>
      </w:r>
      <w:r w:rsidR="007C32CB">
        <w:rPr>
          <w:rFonts w:ascii="Arial" w:hAnsi="Arial" w:cs="Arial"/>
        </w:rPr>
        <w:t>[4]</w:t>
      </w:r>
      <w:r>
        <w:rPr>
          <w:rFonts w:ascii="Arial" w:hAnsi="Arial" w:cs="Arial"/>
        </w:rPr>
        <w:fldChar w:fldCharType="end"/>
      </w:r>
      <w:r>
        <w:rPr>
          <w:rFonts w:ascii="Arial" w:hAnsi="Arial" w:cs="Arial"/>
        </w:rPr>
        <w:t xml:space="preserve">. The beacons can be used by UEs to exchange relevant information (such as vehicle position, speed, UE type, etc.) and eventually establish a </w:t>
      </w:r>
      <w:r w:rsidR="006B64EB">
        <w:rPr>
          <w:rFonts w:ascii="Arial" w:hAnsi="Arial" w:cs="Arial"/>
        </w:rPr>
        <w:t>g</w:t>
      </w:r>
      <w:r>
        <w:rPr>
          <w:rFonts w:ascii="Arial" w:hAnsi="Arial" w:cs="Arial"/>
        </w:rPr>
        <w:t>eocast connection.</w:t>
      </w:r>
    </w:p>
    <w:p w14:paraId="7CBFF9E3" w14:textId="1B106E86" w:rsidR="00CB332D" w:rsidRDefault="00CB332D" w:rsidP="00CB332D">
      <w:pPr>
        <w:jc w:val="both"/>
        <w:rPr>
          <w:rFonts w:ascii="Arial" w:hAnsi="Arial" w:cs="Arial"/>
        </w:rPr>
      </w:pPr>
      <w:r>
        <w:rPr>
          <w:rFonts w:ascii="Arial" w:hAnsi="Arial" w:cs="Arial"/>
        </w:rPr>
        <w:t xml:space="preserve">Given the above </w:t>
      </w:r>
      <w:r w:rsidR="006F4108">
        <w:rPr>
          <w:rFonts w:ascii="Arial" w:hAnsi="Arial" w:cs="Arial"/>
        </w:rPr>
        <w:t>discussion</w:t>
      </w:r>
      <w:r>
        <w:rPr>
          <w:rFonts w:ascii="Arial" w:hAnsi="Arial" w:cs="Arial"/>
        </w:rPr>
        <w:t>, we believe that higher layers already provide tools to discover UEs on t</w:t>
      </w:r>
      <w:r w:rsidR="00D144D3">
        <w:rPr>
          <w:rFonts w:ascii="Arial" w:hAnsi="Arial" w:cs="Arial"/>
        </w:rPr>
        <w:t>h</w:t>
      </w:r>
      <w:r>
        <w:rPr>
          <w:rFonts w:ascii="Arial" w:hAnsi="Arial" w:cs="Arial"/>
        </w:rPr>
        <w:t>e basis of certain vehicle/service characteristics and ways to allow the resolution of the link layer address.</w:t>
      </w:r>
    </w:p>
    <w:p w14:paraId="6BE2850E" w14:textId="7059C307" w:rsidR="00CB332D" w:rsidRDefault="00CB332D" w:rsidP="00CB332D">
      <w:pPr>
        <w:pStyle w:val="Observation"/>
      </w:pPr>
      <w:bookmarkStart w:id="4" w:name="_Toc528876860"/>
      <w:bookmarkStart w:id="5" w:name="_Toc534993933"/>
      <w:r>
        <w:t>There are existing procedures defined at higher layers (e.g. by 3GPP/ETSI) that allow a UE to discover other UEs on the basis of certain service/UE characteristics and to allow the resolution of the link layer address</w:t>
      </w:r>
      <w:r w:rsidR="006F4108">
        <w:t>es to be used</w:t>
      </w:r>
      <w:r>
        <w:t>.</w:t>
      </w:r>
      <w:bookmarkEnd w:id="4"/>
      <w:bookmarkEnd w:id="5"/>
    </w:p>
    <w:p w14:paraId="20229ABA" w14:textId="03E70DB7" w:rsidR="00CE0424" w:rsidRDefault="00230D18" w:rsidP="00CE0424">
      <w:pPr>
        <w:pStyle w:val="Heading2"/>
      </w:pPr>
      <w:r>
        <w:t>2</w:t>
      </w:r>
      <w:r w:rsidRPr="00096849">
        <w:t>.</w:t>
      </w:r>
      <w:r w:rsidR="007C32CB">
        <w:t>2</w:t>
      </w:r>
      <w:r>
        <w:tab/>
      </w:r>
      <w:r w:rsidR="00F25B9F">
        <w:rPr>
          <w:lang w:val="en-US"/>
        </w:rPr>
        <w:t>Physical layer aspects of discovery</w:t>
      </w:r>
    </w:p>
    <w:p w14:paraId="46546F31" w14:textId="5AFC7F17" w:rsidR="00F25B9F" w:rsidRPr="00FD676E" w:rsidRDefault="00F25B9F" w:rsidP="00F25B9F">
      <w:pPr>
        <w:jc w:val="both"/>
        <w:rPr>
          <w:rFonts w:cs="Arial"/>
          <w:lang w:val="en-US"/>
        </w:rPr>
      </w:pPr>
      <w:bookmarkStart w:id="6" w:name="_Toc525635499"/>
      <w:r w:rsidRPr="00FD676E">
        <w:rPr>
          <w:rFonts w:ascii="Arial" w:hAnsi="Arial" w:cs="Arial"/>
          <w:lang w:val="en-US"/>
        </w:rPr>
        <w:t xml:space="preserve">Different from the discovery messages specified in LTE sidelink for D2D, the payload size of NR discovery message for the enhanced NR sidelink discovery procedure can vary significantly, depending on the use cases, applications, and service types, etc. Therefore, the existing PSDCH channel in LTE, which is designed for transmitting discovery messages of a fixed transport block size of 232 bits, cannot be used to support the transmission of the enhanced NR discovery messages. </w:t>
      </w:r>
      <w:r w:rsidRPr="00FD676E">
        <w:rPr>
          <w:rFonts w:ascii="Arial" w:hAnsi="Arial" w:cs="Arial"/>
          <w:bCs/>
          <w:lang w:val="en-US"/>
        </w:rPr>
        <w:t>In our view, f</w:t>
      </w:r>
      <w:r w:rsidRPr="00FD676E">
        <w:rPr>
          <w:rFonts w:ascii="Arial" w:hAnsi="Arial" w:cs="Arial"/>
          <w:lang w:val="en-US"/>
        </w:rPr>
        <w:t>or the physical design of NR sidelink discovery, a dedicated discovery channel is not needed as in 3GPP release 12 LTE ProSe discovery [2].</w:t>
      </w:r>
      <w:r w:rsidRPr="00FD676E">
        <w:rPr>
          <w:rFonts w:ascii="Arial" w:hAnsi="Arial" w:cs="Arial"/>
          <w:bCs/>
          <w:lang w:val="en-US"/>
        </w:rPr>
        <w:t xml:space="preserve"> </w:t>
      </w:r>
      <w:r w:rsidRPr="00FD676E">
        <w:rPr>
          <w:rFonts w:ascii="Arial" w:hAnsi="Arial" w:cs="Arial"/>
          <w:lang w:val="en-US"/>
        </w:rPr>
        <w:t>Instead, sidelink shared channel</w:t>
      </w:r>
      <w:r w:rsidR="00310CF4">
        <w:rPr>
          <w:rFonts w:ascii="Arial" w:hAnsi="Arial" w:cs="Arial"/>
        </w:rPr>
        <w:t xml:space="preserve"> (PSSCH)</w:t>
      </w:r>
      <w:r w:rsidRPr="00FD676E">
        <w:rPr>
          <w:rFonts w:ascii="Arial" w:hAnsi="Arial" w:cs="Arial"/>
          <w:lang w:val="en-US"/>
        </w:rPr>
        <w:t xml:space="preserve"> can be used to carry the discovery message</w:t>
      </w:r>
      <w:r w:rsidR="00310CF4">
        <w:rPr>
          <w:rFonts w:ascii="Arial" w:hAnsi="Arial" w:cs="Arial"/>
        </w:rPr>
        <w:t xml:space="preserve"> as well</w:t>
      </w:r>
      <w:r w:rsidRPr="00FD676E">
        <w:rPr>
          <w:rFonts w:ascii="Arial" w:hAnsi="Arial" w:cs="Arial"/>
          <w:lang w:val="en-US"/>
        </w:rPr>
        <w:t>. In this case, we do not need separate resource allocation procedures for sidelink discovery message. Instead, for resource allocation for sidelink discovery message, we can re-use the resource allocation procedures for sidelink data. Also, without the need of a dedicated physical channel for sidelink discovery, the radio resource usage efficiency can be improved since no resource should be reserved for sidelink discovery physical channel.</w:t>
      </w:r>
      <w:bookmarkEnd w:id="6"/>
      <w:r w:rsidRPr="00FD676E">
        <w:rPr>
          <w:rFonts w:ascii="Arial" w:hAnsi="Arial" w:cs="Arial"/>
          <w:lang w:val="en-US"/>
        </w:rPr>
        <w:t xml:space="preserve"> </w:t>
      </w:r>
    </w:p>
    <w:p w14:paraId="303A83E4" w14:textId="77777777" w:rsidR="00F25B9F" w:rsidRPr="00FD676E" w:rsidRDefault="00F25B9F" w:rsidP="00F25B9F">
      <w:pPr>
        <w:pStyle w:val="Proposal"/>
        <w:tabs>
          <w:tab w:val="clear" w:pos="1304"/>
        </w:tabs>
        <w:overflowPunct/>
        <w:autoSpaceDE/>
        <w:autoSpaceDN/>
        <w:adjustRightInd/>
        <w:spacing w:line="259" w:lineRule="auto"/>
        <w:ind w:left="1701" w:hanging="1701"/>
        <w:textAlignment w:val="auto"/>
        <w:rPr>
          <w:rFonts w:cs="Arial"/>
          <w:lang w:val="en-US"/>
        </w:rPr>
      </w:pPr>
      <w:bookmarkStart w:id="7" w:name="_Toc528953082"/>
      <w:bookmarkStart w:id="8" w:name="_Toc534993934"/>
      <w:r w:rsidRPr="00FD676E">
        <w:rPr>
          <w:rFonts w:cs="Arial"/>
          <w:lang w:val="en-US"/>
        </w:rPr>
        <w:t>No new physical channel is introduced for discovery. PSSCH is used for carrying NR sidelink discovery messages.</w:t>
      </w:r>
      <w:bookmarkEnd w:id="7"/>
      <w:bookmarkEnd w:id="8"/>
    </w:p>
    <w:p w14:paraId="4FE29A8B" w14:textId="77777777" w:rsidR="00F25B9F" w:rsidRPr="00FD676E" w:rsidRDefault="00F25B9F" w:rsidP="00F25B9F">
      <w:pPr>
        <w:jc w:val="both"/>
        <w:rPr>
          <w:rFonts w:ascii="Arial" w:hAnsi="Arial" w:cs="Arial"/>
          <w:lang w:val="en-US"/>
        </w:rPr>
      </w:pPr>
      <w:r w:rsidRPr="00FD676E">
        <w:rPr>
          <w:rFonts w:ascii="Arial" w:hAnsi="Arial" w:cs="Arial"/>
          <w:lang w:val="en-US"/>
        </w:rPr>
        <w:t>When using the sidelink shared data channel for conveying discovery messages, one should have ways to differentiate discovery message transmissions from the normal sidelink data transmissions. For the resource allocation for sidelink discovery message, we may re-use the resource allocation procedures for normal sidelink data with some enhancements. Firstly, in the sidelink control information (SCI) carried in the physical sidelink control channel, one-bit information can be added to indicate whether the scheduled data is discovery message or normal sidelink data. If the scheduled data is discovery message, then this scheduled data should be given high priority from other UEs to access the radio resource. Secondly, for logical channel prioritization within one UE, a special dedicated logical channel ID can be assigned to discovery message such that the discovery message can be prioritized in the channel or radio resource access.</w:t>
      </w:r>
      <w:r w:rsidRPr="00FD676E">
        <w:rPr>
          <w:rFonts w:ascii="Arial" w:hAnsi="Arial" w:cs="Arial"/>
          <w:lang w:val="en-US"/>
        </w:rPr>
        <w:tab/>
        <w:t xml:space="preserve"> </w:t>
      </w:r>
    </w:p>
    <w:p w14:paraId="434FA2BC" w14:textId="77777777" w:rsidR="00F25B9F" w:rsidRPr="00FD676E" w:rsidRDefault="00F25B9F" w:rsidP="00F25B9F">
      <w:pPr>
        <w:pStyle w:val="Proposal"/>
        <w:tabs>
          <w:tab w:val="clear" w:pos="1304"/>
        </w:tabs>
        <w:overflowPunct/>
        <w:autoSpaceDE/>
        <w:autoSpaceDN/>
        <w:adjustRightInd/>
        <w:spacing w:line="259" w:lineRule="auto"/>
        <w:ind w:left="1701" w:hanging="1701"/>
        <w:textAlignment w:val="auto"/>
        <w:rPr>
          <w:rFonts w:cs="Arial"/>
          <w:lang w:val="en-US"/>
        </w:rPr>
      </w:pPr>
      <w:bookmarkStart w:id="9" w:name="_Toc528953083"/>
      <w:bookmarkStart w:id="10" w:name="_Toc534993935"/>
      <w:r w:rsidRPr="00FD676E">
        <w:rPr>
          <w:rFonts w:cs="Arial"/>
          <w:lang w:val="en-US"/>
        </w:rPr>
        <w:t>For the resource allocation of NR sidelink discovery, the resource allocation procedures for NR sidelink data can be re-used with some enhancements to identify and prioritize the transmissions of NR sidelink discovery message.</w:t>
      </w:r>
      <w:bookmarkEnd w:id="9"/>
      <w:bookmarkEnd w:id="10"/>
      <w:r w:rsidRPr="00FD676E">
        <w:rPr>
          <w:rFonts w:cs="Arial"/>
          <w:lang w:val="en-US"/>
        </w:rPr>
        <w:t xml:space="preserve"> </w:t>
      </w:r>
    </w:p>
    <w:p w14:paraId="5300F849" w14:textId="57240E03" w:rsidR="00C01F33" w:rsidRPr="00CE0424" w:rsidRDefault="00310CF4" w:rsidP="00CE0424">
      <w:pPr>
        <w:pStyle w:val="Heading1"/>
      </w:pPr>
      <w:r>
        <w:t>3</w:t>
      </w:r>
      <w:r>
        <w:tab/>
      </w:r>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6FD1402" w14:textId="7896C35A" w:rsidR="001464C5" w:rsidRDefault="006F6582">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rPr>
        <w:fldChar w:fldCharType="begin"/>
      </w:r>
      <w:r>
        <w:rPr>
          <w:b w:val="0"/>
          <w:bCs/>
        </w:rPr>
        <w:instrText xml:space="preserve"> TOC \f O \n \h \z \t "Observation" \c </w:instrText>
      </w:r>
      <w:r>
        <w:rPr>
          <w:b w:val="0"/>
          <w:bCs/>
        </w:rPr>
        <w:fldChar w:fldCharType="separate"/>
      </w:r>
      <w:hyperlink w:anchor="_Toc534993932" w:history="1">
        <w:r w:rsidR="001464C5" w:rsidRPr="00F56BFE">
          <w:rPr>
            <w:rStyle w:val="Hyperlink"/>
            <w:noProof/>
          </w:rPr>
          <w:t>Observation 1</w:t>
        </w:r>
        <w:r w:rsidR="001464C5">
          <w:rPr>
            <w:rFonts w:asciiTheme="minorHAnsi" w:eastAsiaTheme="minorEastAsia" w:hAnsiTheme="minorHAnsi" w:cstheme="minorBidi"/>
            <w:b w:val="0"/>
            <w:noProof/>
            <w:sz w:val="22"/>
            <w:szCs w:val="22"/>
            <w:lang w:val="en-150" w:eastAsia="en-150"/>
          </w:rPr>
          <w:tab/>
        </w:r>
        <w:r w:rsidR="001464C5" w:rsidRPr="00F56BFE">
          <w:rPr>
            <w:rStyle w:val="Hyperlink"/>
            <w:noProof/>
          </w:rPr>
          <w:t>According to TS 23.285, the ProSe discovery can be used also in the context of V2X, if needed.</w:t>
        </w:r>
      </w:hyperlink>
    </w:p>
    <w:p w14:paraId="15F57728" w14:textId="57BDFC11" w:rsidR="001464C5" w:rsidRDefault="001464C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933" w:history="1">
        <w:r w:rsidRPr="00F56BFE">
          <w:rPr>
            <w:rStyle w:val="Hyperlink"/>
            <w:noProof/>
          </w:rPr>
          <w:t>Observation 2</w:t>
        </w:r>
        <w:r>
          <w:rPr>
            <w:rFonts w:asciiTheme="minorHAnsi" w:eastAsiaTheme="minorEastAsia" w:hAnsiTheme="minorHAnsi" w:cstheme="minorBidi"/>
            <w:b w:val="0"/>
            <w:noProof/>
            <w:sz w:val="22"/>
            <w:szCs w:val="22"/>
            <w:lang w:val="en-150" w:eastAsia="en-150"/>
          </w:rPr>
          <w:tab/>
        </w:r>
        <w:r w:rsidRPr="00F56BFE">
          <w:rPr>
            <w:rStyle w:val="Hyperlink"/>
            <w:noProof/>
          </w:rPr>
          <w:t>There are existing procedures defined at higher layers (e.g. by 3GPP/ETSI) that allow a UE to discover other UEs on the basis of certain service/UE characteristics and to allow the resolution of the link layer addresses to be used.</w:t>
        </w:r>
      </w:hyperlink>
    </w:p>
    <w:p w14:paraId="7AFEA5AA" w14:textId="2C4B7CBC"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7A77B53" w14:textId="14BD7D57" w:rsidR="001464C5" w:rsidRDefault="006E1C82">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34993934" w:history="1">
        <w:r w:rsidR="001464C5" w:rsidRPr="00BD67AC">
          <w:rPr>
            <w:rStyle w:val="Hyperlink"/>
            <w:rFonts w:cs="Arial"/>
            <w:noProof/>
            <w:lang w:val="en-US"/>
          </w:rPr>
          <w:t>Proposal 1</w:t>
        </w:r>
        <w:r w:rsidR="001464C5">
          <w:rPr>
            <w:rFonts w:asciiTheme="minorHAnsi" w:eastAsiaTheme="minorEastAsia" w:hAnsiTheme="minorHAnsi" w:cstheme="minorBidi"/>
            <w:b w:val="0"/>
            <w:noProof/>
            <w:sz w:val="22"/>
            <w:szCs w:val="22"/>
            <w:lang w:val="en-150" w:eastAsia="en-150"/>
          </w:rPr>
          <w:tab/>
        </w:r>
        <w:r w:rsidR="001464C5" w:rsidRPr="00BD67AC">
          <w:rPr>
            <w:rStyle w:val="Hyperlink"/>
            <w:rFonts w:cs="Arial"/>
            <w:noProof/>
            <w:lang w:val="en-US"/>
          </w:rPr>
          <w:t>No new physical channel is introduced for discovery. PSSCH is used for carrying NR sidelink discovery messages.</w:t>
        </w:r>
      </w:hyperlink>
    </w:p>
    <w:p w14:paraId="2F32FF23" w14:textId="3964C453" w:rsidR="001464C5" w:rsidRDefault="001464C5">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4993935" w:history="1">
        <w:r w:rsidRPr="00BD67AC">
          <w:rPr>
            <w:rStyle w:val="Hyperlink"/>
            <w:rFonts w:cs="Arial"/>
            <w:noProof/>
            <w:lang w:val="en-US"/>
          </w:rPr>
          <w:t>Proposal 2</w:t>
        </w:r>
        <w:r>
          <w:rPr>
            <w:rFonts w:asciiTheme="minorHAnsi" w:eastAsiaTheme="minorEastAsia" w:hAnsiTheme="minorHAnsi" w:cstheme="minorBidi"/>
            <w:b w:val="0"/>
            <w:noProof/>
            <w:sz w:val="22"/>
            <w:szCs w:val="22"/>
            <w:lang w:val="en-150" w:eastAsia="en-150"/>
          </w:rPr>
          <w:tab/>
        </w:r>
        <w:r w:rsidRPr="00BD67AC">
          <w:rPr>
            <w:rStyle w:val="Hyperlink"/>
            <w:rFonts w:cs="Arial"/>
            <w:noProof/>
            <w:lang w:val="en-US"/>
          </w:rPr>
          <w:t>For the resource allocation of NR sidelink discovery, the resource allocation procedures for NR sidelink data can be re-used with some enhancements to identify and prioritize the transmissions of NR sidelink discovery message.</w:t>
        </w:r>
      </w:hyperlink>
    </w:p>
    <w:p w14:paraId="5A1EB9E8" w14:textId="3BAB59F9"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0D0D33C9" w:rsidR="00F507D1" w:rsidRPr="00CE0424" w:rsidRDefault="00310CF4" w:rsidP="00CE0424">
      <w:pPr>
        <w:pStyle w:val="Heading1"/>
      </w:pPr>
      <w:bookmarkStart w:id="11" w:name="_In-sequence_SDU_delivery"/>
      <w:bookmarkEnd w:id="11"/>
      <w:r>
        <w:lastRenderedPageBreak/>
        <w:t>4</w:t>
      </w:r>
      <w:r>
        <w:tab/>
      </w:r>
      <w:r w:rsidR="00F507D1" w:rsidRPr="00CE0424">
        <w:t>References</w:t>
      </w:r>
    </w:p>
    <w:p w14:paraId="6097A555" w14:textId="77777777" w:rsidR="007D1F82" w:rsidRPr="008913C8" w:rsidRDefault="007D1F82" w:rsidP="007D1F82">
      <w:pPr>
        <w:pStyle w:val="Reference"/>
      </w:pPr>
      <w:bookmarkStart w:id="12" w:name="_Ref174151459"/>
      <w:bookmarkStart w:id="13" w:name="_Ref189809556"/>
      <w:r w:rsidRPr="006B5F4B">
        <w:t>RP-181429</w:t>
      </w:r>
      <w:r>
        <w:t xml:space="preserve">, </w:t>
      </w:r>
      <w:r w:rsidRPr="006B5F4B">
        <w:rPr>
          <w:rFonts w:eastAsia="Batang" w:cs="Arial"/>
        </w:rPr>
        <w:t>Study on NR V2X</w:t>
      </w:r>
      <w:r>
        <w:rPr>
          <w:rFonts w:eastAsia="Batang" w:cs="Arial"/>
        </w:rPr>
        <w:t>, 3GPP RAN Plenary, 2018-6-11– 2018- 6-14</w:t>
      </w:r>
    </w:p>
    <w:p w14:paraId="34AE9103" w14:textId="77777777" w:rsidR="007D1F82" w:rsidRDefault="007D1F82" w:rsidP="007D1F82">
      <w:pPr>
        <w:pStyle w:val="Reference"/>
      </w:pPr>
      <w:r>
        <w:t>3GPP TS 23.303, June 2018; Technical Specification Group and System Aspects, Proximity-based services (ProSe); Stage 2; Release 12</w:t>
      </w:r>
    </w:p>
    <w:p w14:paraId="51733EC9" w14:textId="38A94E4A" w:rsidR="007D1F82" w:rsidRPr="00D144D3" w:rsidRDefault="007D1F82" w:rsidP="007D1F82">
      <w:pPr>
        <w:pStyle w:val="Reference"/>
      </w:pPr>
      <w:bookmarkStart w:id="14" w:name="_Ref525493894"/>
      <w:r w:rsidRPr="00F505CB">
        <w:t>TS 23.285, A</w:t>
      </w:r>
      <w:r>
        <w:t>rchitecture enhancements for V2X services</w:t>
      </w:r>
      <w:bookmarkEnd w:id="14"/>
      <w:r w:rsidR="00D144D3">
        <w:t>.</w:t>
      </w:r>
    </w:p>
    <w:p w14:paraId="3999E467" w14:textId="77777777" w:rsidR="00D144D3" w:rsidRDefault="00D144D3" w:rsidP="00D144D3">
      <w:pPr>
        <w:pStyle w:val="Reference"/>
      </w:pPr>
      <w:bookmarkStart w:id="15" w:name="_Ref525492340"/>
      <w:r w:rsidRPr="00CB5A3C">
        <w:t>EN 302 636-4-1, Geographical addressing and forwarding for point-to-point and point-to-multipoint communications</w:t>
      </w:r>
      <w:bookmarkEnd w:id="15"/>
    </w:p>
    <w:p w14:paraId="522D466C" w14:textId="77777777" w:rsidR="00D144D3" w:rsidRDefault="00D144D3" w:rsidP="00310CF4">
      <w:pPr>
        <w:pStyle w:val="Reference"/>
        <w:numPr>
          <w:ilvl w:val="0"/>
          <w:numId w:val="0"/>
        </w:numPr>
        <w:ind w:left="567"/>
      </w:pPr>
    </w:p>
    <w:p w14:paraId="776F3443" w14:textId="77777777" w:rsidR="005F3025" w:rsidRPr="00CE0424" w:rsidRDefault="005F3025" w:rsidP="007D1F82">
      <w:pPr>
        <w:pStyle w:val="Reference"/>
        <w:numPr>
          <w:ilvl w:val="0"/>
          <w:numId w:val="0"/>
        </w:numPr>
        <w:ind w:left="567"/>
      </w:pPr>
    </w:p>
    <w:bookmarkEnd w:id="12"/>
    <w:bookmarkEnd w:id="13"/>
    <w:p w14:paraId="0034D3CC" w14:textId="77777777" w:rsidR="003A7EF3" w:rsidRPr="00CE0424" w:rsidRDefault="003A7EF3" w:rsidP="00CE0424">
      <w:pPr>
        <w:pStyle w:val="BodyText"/>
      </w:pPr>
    </w:p>
    <w:sectPr w:rsidR="003A7EF3"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489D4" w14:textId="77777777" w:rsidR="004F66E5" w:rsidRDefault="004F66E5">
      <w:r>
        <w:separator/>
      </w:r>
    </w:p>
  </w:endnote>
  <w:endnote w:type="continuationSeparator" w:id="0">
    <w:p w14:paraId="2222291F" w14:textId="77777777" w:rsidR="004F66E5" w:rsidRDefault="004F6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1043D" w14:textId="77777777" w:rsidR="004F66E5" w:rsidRDefault="004F66E5">
      <w:r>
        <w:separator/>
      </w:r>
    </w:p>
  </w:footnote>
  <w:footnote w:type="continuationSeparator" w:id="0">
    <w:p w14:paraId="02C46D65" w14:textId="77777777" w:rsidR="004F66E5" w:rsidRDefault="004F6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5296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DAE5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77127F"/>
    <w:multiLevelType w:val="hybridMultilevel"/>
    <w:tmpl w:val="73E48306"/>
    <w:lvl w:ilvl="0" w:tplc="16E4847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4217CF"/>
    <w:multiLevelType w:val="hybridMultilevel"/>
    <w:tmpl w:val="3340AA4C"/>
    <w:lvl w:ilvl="0" w:tplc="0409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21D53"/>
    <w:multiLevelType w:val="hybridMultilevel"/>
    <w:tmpl w:val="47085FDE"/>
    <w:lvl w:ilvl="0" w:tplc="04090001">
      <w:start w:val="1"/>
      <w:numFmt w:val="bullet"/>
      <w:lvlText w:val=""/>
      <w:lvlJc w:val="left"/>
      <w:pPr>
        <w:ind w:left="2085" w:hanging="360"/>
      </w:pPr>
      <w:rPr>
        <w:rFonts w:ascii="Symbol" w:hAnsi="Symbol" w:hint="default"/>
      </w:rPr>
    </w:lvl>
    <w:lvl w:ilvl="1" w:tplc="04090003" w:tentative="1">
      <w:start w:val="1"/>
      <w:numFmt w:val="bullet"/>
      <w:lvlText w:val="o"/>
      <w:lvlJc w:val="left"/>
      <w:pPr>
        <w:ind w:left="2805" w:hanging="360"/>
      </w:pPr>
      <w:rPr>
        <w:rFonts w:ascii="Courier New" w:hAnsi="Courier New" w:cs="Courier New" w:hint="default"/>
      </w:rPr>
    </w:lvl>
    <w:lvl w:ilvl="2" w:tplc="04090005" w:tentative="1">
      <w:start w:val="1"/>
      <w:numFmt w:val="bullet"/>
      <w:lvlText w:val=""/>
      <w:lvlJc w:val="left"/>
      <w:pPr>
        <w:ind w:left="3525" w:hanging="360"/>
      </w:pPr>
      <w:rPr>
        <w:rFonts w:ascii="Wingdings" w:hAnsi="Wingdings" w:hint="default"/>
      </w:rPr>
    </w:lvl>
    <w:lvl w:ilvl="3" w:tplc="04090001" w:tentative="1">
      <w:start w:val="1"/>
      <w:numFmt w:val="bullet"/>
      <w:lvlText w:val=""/>
      <w:lvlJc w:val="left"/>
      <w:pPr>
        <w:ind w:left="4245" w:hanging="360"/>
      </w:pPr>
      <w:rPr>
        <w:rFonts w:ascii="Symbol" w:hAnsi="Symbol" w:hint="default"/>
      </w:rPr>
    </w:lvl>
    <w:lvl w:ilvl="4" w:tplc="04090003" w:tentative="1">
      <w:start w:val="1"/>
      <w:numFmt w:val="bullet"/>
      <w:lvlText w:val="o"/>
      <w:lvlJc w:val="left"/>
      <w:pPr>
        <w:ind w:left="4965" w:hanging="360"/>
      </w:pPr>
      <w:rPr>
        <w:rFonts w:ascii="Courier New" w:hAnsi="Courier New" w:cs="Courier New" w:hint="default"/>
      </w:rPr>
    </w:lvl>
    <w:lvl w:ilvl="5" w:tplc="04090005" w:tentative="1">
      <w:start w:val="1"/>
      <w:numFmt w:val="bullet"/>
      <w:lvlText w:val=""/>
      <w:lvlJc w:val="left"/>
      <w:pPr>
        <w:ind w:left="5685" w:hanging="360"/>
      </w:pPr>
      <w:rPr>
        <w:rFonts w:ascii="Wingdings" w:hAnsi="Wingdings" w:hint="default"/>
      </w:rPr>
    </w:lvl>
    <w:lvl w:ilvl="6" w:tplc="04090001" w:tentative="1">
      <w:start w:val="1"/>
      <w:numFmt w:val="bullet"/>
      <w:lvlText w:val=""/>
      <w:lvlJc w:val="left"/>
      <w:pPr>
        <w:ind w:left="6405" w:hanging="360"/>
      </w:pPr>
      <w:rPr>
        <w:rFonts w:ascii="Symbol" w:hAnsi="Symbol" w:hint="default"/>
      </w:rPr>
    </w:lvl>
    <w:lvl w:ilvl="7" w:tplc="04090003" w:tentative="1">
      <w:start w:val="1"/>
      <w:numFmt w:val="bullet"/>
      <w:lvlText w:val="o"/>
      <w:lvlJc w:val="left"/>
      <w:pPr>
        <w:ind w:left="7125" w:hanging="360"/>
      </w:pPr>
      <w:rPr>
        <w:rFonts w:ascii="Courier New" w:hAnsi="Courier New" w:cs="Courier New" w:hint="default"/>
      </w:rPr>
    </w:lvl>
    <w:lvl w:ilvl="8" w:tplc="04090005" w:tentative="1">
      <w:start w:val="1"/>
      <w:numFmt w:val="bullet"/>
      <w:lvlText w:val=""/>
      <w:lvlJc w:val="left"/>
      <w:pPr>
        <w:ind w:left="7845"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5649F5"/>
    <w:multiLevelType w:val="hybridMultilevel"/>
    <w:tmpl w:val="1D8C0E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D5651E7"/>
    <w:multiLevelType w:val="hybridMultilevel"/>
    <w:tmpl w:val="AABED2B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DF858F3"/>
    <w:multiLevelType w:val="hybridMultilevel"/>
    <w:tmpl w:val="68366EE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21"/>
  </w:num>
  <w:num w:numId="3">
    <w:abstractNumId w:val="13"/>
  </w:num>
  <w:num w:numId="4">
    <w:abstractNumId w:val="15"/>
  </w:num>
  <w:num w:numId="5">
    <w:abstractNumId w:val="10"/>
  </w:num>
  <w:num w:numId="6">
    <w:abstractNumId w:val="18"/>
  </w:num>
  <w:num w:numId="7">
    <w:abstractNumId w:val="24"/>
  </w:num>
  <w:num w:numId="8">
    <w:abstractNumId w:val="11"/>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6"/>
  </w:num>
  <w:num w:numId="18">
    <w:abstractNumId w:val="7"/>
  </w:num>
  <w:num w:numId="19">
    <w:abstractNumId w:val="5"/>
  </w:num>
  <w:num w:numId="20">
    <w:abstractNumId w:val="29"/>
  </w:num>
  <w:num w:numId="21">
    <w:abstractNumId w:val="12"/>
  </w:num>
  <w:num w:numId="22">
    <w:abstractNumId w:val="28"/>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30"/>
  </w:num>
  <w:num w:numId="26">
    <w:abstractNumId w:val="8"/>
  </w:num>
  <w:num w:numId="27">
    <w:abstractNumId w:val="14"/>
  </w:num>
  <w:num w:numId="28">
    <w:abstractNumId w:val="13"/>
  </w:num>
  <w:num w:numId="29">
    <w:abstractNumId w:val="27"/>
  </w:num>
  <w:num w:numId="30">
    <w:abstractNumId w:val="19"/>
  </w:num>
  <w:num w:numId="31">
    <w:abstractNumId w:val="16"/>
  </w:num>
  <w:num w:numId="3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2BF4"/>
    <w:rsid w:val="000534E3"/>
    <w:rsid w:val="0005606A"/>
    <w:rsid w:val="00057117"/>
    <w:rsid w:val="000616E7"/>
    <w:rsid w:val="00063AA2"/>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F0F"/>
    <w:rsid w:val="00096849"/>
    <w:rsid w:val="000A1B7B"/>
    <w:rsid w:val="000A56F2"/>
    <w:rsid w:val="000B2719"/>
    <w:rsid w:val="000B3A8F"/>
    <w:rsid w:val="000B4AB9"/>
    <w:rsid w:val="000B58C3"/>
    <w:rsid w:val="000B61E9"/>
    <w:rsid w:val="000C165A"/>
    <w:rsid w:val="000C2E19"/>
    <w:rsid w:val="000D0D07"/>
    <w:rsid w:val="000D3909"/>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45C"/>
    <w:rsid w:val="0012377F"/>
    <w:rsid w:val="00124314"/>
    <w:rsid w:val="00126B4A"/>
    <w:rsid w:val="00132FD0"/>
    <w:rsid w:val="001344C0"/>
    <w:rsid w:val="001346FA"/>
    <w:rsid w:val="00135252"/>
    <w:rsid w:val="00136A28"/>
    <w:rsid w:val="00137AB5"/>
    <w:rsid w:val="00137F0B"/>
    <w:rsid w:val="001464C5"/>
    <w:rsid w:val="00151E23"/>
    <w:rsid w:val="001526E0"/>
    <w:rsid w:val="001551B5"/>
    <w:rsid w:val="001659C1"/>
    <w:rsid w:val="00173A8E"/>
    <w:rsid w:val="00174A93"/>
    <w:rsid w:val="0017502C"/>
    <w:rsid w:val="00176F55"/>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088"/>
    <w:rsid w:val="00230765"/>
    <w:rsid w:val="00230ABF"/>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514"/>
    <w:rsid w:val="0028280A"/>
    <w:rsid w:val="00286ACD"/>
    <w:rsid w:val="00287838"/>
    <w:rsid w:val="002907B5"/>
    <w:rsid w:val="00292EB7"/>
    <w:rsid w:val="00295D31"/>
    <w:rsid w:val="00296227"/>
    <w:rsid w:val="00296F44"/>
    <w:rsid w:val="0029777D"/>
    <w:rsid w:val="002A055E"/>
    <w:rsid w:val="002A1D4E"/>
    <w:rsid w:val="002A2869"/>
    <w:rsid w:val="002B24D6"/>
    <w:rsid w:val="002B311E"/>
    <w:rsid w:val="002C0AC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0CF4"/>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3A"/>
    <w:rsid w:val="003B159C"/>
    <w:rsid w:val="003B369F"/>
    <w:rsid w:val="003B36A3"/>
    <w:rsid w:val="003B64BB"/>
    <w:rsid w:val="003B7FE5"/>
    <w:rsid w:val="003C11C8"/>
    <w:rsid w:val="003C2702"/>
    <w:rsid w:val="003C7806"/>
    <w:rsid w:val="003D109F"/>
    <w:rsid w:val="003D2478"/>
    <w:rsid w:val="003D3C45"/>
    <w:rsid w:val="003D5437"/>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27CDF"/>
    <w:rsid w:val="00437447"/>
    <w:rsid w:val="00441A92"/>
    <w:rsid w:val="004431DC"/>
    <w:rsid w:val="00444F56"/>
    <w:rsid w:val="00446488"/>
    <w:rsid w:val="004517AA"/>
    <w:rsid w:val="00452CAC"/>
    <w:rsid w:val="00455698"/>
    <w:rsid w:val="00457565"/>
    <w:rsid w:val="00457B71"/>
    <w:rsid w:val="004669E2"/>
    <w:rsid w:val="00470C31"/>
    <w:rsid w:val="00471DE0"/>
    <w:rsid w:val="004734D0"/>
    <w:rsid w:val="0047556B"/>
    <w:rsid w:val="00477768"/>
    <w:rsid w:val="00486F1D"/>
    <w:rsid w:val="00492BC5"/>
    <w:rsid w:val="00493D2B"/>
    <w:rsid w:val="004964F1"/>
    <w:rsid w:val="004A16BC"/>
    <w:rsid w:val="004A2B94"/>
    <w:rsid w:val="004B6F6A"/>
    <w:rsid w:val="004B7C0C"/>
    <w:rsid w:val="004C3898"/>
    <w:rsid w:val="004D36B1"/>
    <w:rsid w:val="004D7EBD"/>
    <w:rsid w:val="004E0BEF"/>
    <w:rsid w:val="004E2680"/>
    <w:rsid w:val="004E28F9"/>
    <w:rsid w:val="004E462E"/>
    <w:rsid w:val="004E56DC"/>
    <w:rsid w:val="004E76F4"/>
    <w:rsid w:val="004F0B4E"/>
    <w:rsid w:val="004F0B6C"/>
    <w:rsid w:val="004F2078"/>
    <w:rsid w:val="004F4DA3"/>
    <w:rsid w:val="004F66E5"/>
    <w:rsid w:val="00506557"/>
    <w:rsid w:val="0050677A"/>
    <w:rsid w:val="005108D8"/>
    <w:rsid w:val="005116F9"/>
    <w:rsid w:val="005153A7"/>
    <w:rsid w:val="005219CF"/>
    <w:rsid w:val="00532D33"/>
    <w:rsid w:val="00534B59"/>
    <w:rsid w:val="00536759"/>
    <w:rsid w:val="00537C62"/>
    <w:rsid w:val="00546970"/>
    <w:rsid w:val="00554E19"/>
    <w:rsid w:val="0056121F"/>
    <w:rsid w:val="00572505"/>
    <w:rsid w:val="00582809"/>
    <w:rsid w:val="0058798C"/>
    <w:rsid w:val="005900FA"/>
    <w:rsid w:val="005928D2"/>
    <w:rsid w:val="005935A4"/>
    <w:rsid w:val="005948C2"/>
    <w:rsid w:val="00595DCA"/>
    <w:rsid w:val="0059779B"/>
    <w:rsid w:val="005A209A"/>
    <w:rsid w:val="005A662D"/>
    <w:rsid w:val="005A746B"/>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2074"/>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F62"/>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4EB"/>
    <w:rsid w:val="006C03B8"/>
    <w:rsid w:val="006C5EC9"/>
    <w:rsid w:val="006C6059"/>
    <w:rsid w:val="006C7522"/>
    <w:rsid w:val="006D6F08"/>
    <w:rsid w:val="006E062C"/>
    <w:rsid w:val="006E1C82"/>
    <w:rsid w:val="006E28B7"/>
    <w:rsid w:val="006E2A9B"/>
    <w:rsid w:val="006E3310"/>
    <w:rsid w:val="006E441E"/>
    <w:rsid w:val="006E4E39"/>
    <w:rsid w:val="006E565E"/>
    <w:rsid w:val="006E673D"/>
    <w:rsid w:val="006E7D3B"/>
    <w:rsid w:val="006F1B70"/>
    <w:rsid w:val="006F341D"/>
    <w:rsid w:val="006F3CDE"/>
    <w:rsid w:val="006F4108"/>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5F6C"/>
    <w:rsid w:val="00766BAD"/>
    <w:rsid w:val="007729A2"/>
    <w:rsid w:val="007755F2"/>
    <w:rsid w:val="00776971"/>
    <w:rsid w:val="00780A80"/>
    <w:rsid w:val="0078177E"/>
    <w:rsid w:val="0078304C"/>
    <w:rsid w:val="00783673"/>
    <w:rsid w:val="00785490"/>
    <w:rsid w:val="007925EA"/>
    <w:rsid w:val="00792FB8"/>
    <w:rsid w:val="00793CD8"/>
    <w:rsid w:val="00795C92"/>
    <w:rsid w:val="00796231"/>
    <w:rsid w:val="007A1CB3"/>
    <w:rsid w:val="007A306F"/>
    <w:rsid w:val="007A43A6"/>
    <w:rsid w:val="007A58A6"/>
    <w:rsid w:val="007B3D2D"/>
    <w:rsid w:val="007B50AE"/>
    <w:rsid w:val="007B51DF"/>
    <w:rsid w:val="007C05DD"/>
    <w:rsid w:val="007C32CB"/>
    <w:rsid w:val="007C3D18"/>
    <w:rsid w:val="007C60BF"/>
    <w:rsid w:val="007C6A07"/>
    <w:rsid w:val="007C75A1"/>
    <w:rsid w:val="007C77A5"/>
    <w:rsid w:val="007D04E5"/>
    <w:rsid w:val="007D1F82"/>
    <w:rsid w:val="007D5901"/>
    <w:rsid w:val="007D7526"/>
    <w:rsid w:val="007E41CC"/>
    <w:rsid w:val="007E4610"/>
    <w:rsid w:val="007E4715"/>
    <w:rsid w:val="007E505B"/>
    <w:rsid w:val="007E7091"/>
    <w:rsid w:val="007F0E10"/>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2962"/>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1E7"/>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9CF"/>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3A1"/>
    <w:rsid w:val="009C403E"/>
    <w:rsid w:val="009D4FF0"/>
    <w:rsid w:val="009D6E44"/>
    <w:rsid w:val="009D703C"/>
    <w:rsid w:val="009D718F"/>
    <w:rsid w:val="009E068F"/>
    <w:rsid w:val="009E14E0"/>
    <w:rsid w:val="009E35DB"/>
    <w:rsid w:val="009E47A3"/>
    <w:rsid w:val="009F08F3"/>
    <w:rsid w:val="009F344F"/>
    <w:rsid w:val="00A031D8"/>
    <w:rsid w:val="00A048A8"/>
    <w:rsid w:val="00A04F49"/>
    <w:rsid w:val="00A10494"/>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4817"/>
    <w:rsid w:val="00A657D7"/>
    <w:rsid w:val="00A660AC"/>
    <w:rsid w:val="00A67E6C"/>
    <w:rsid w:val="00A71B99"/>
    <w:rsid w:val="00A739D0"/>
    <w:rsid w:val="00A761D4"/>
    <w:rsid w:val="00A77EC4"/>
    <w:rsid w:val="00A92879"/>
    <w:rsid w:val="00A93635"/>
    <w:rsid w:val="00A9442A"/>
    <w:rsid w:val="00AA016F"/>
    <w:rsid w:val="00AA1ED6"/>
    <w:rsid w:val="00AA51D6"/>
    <w:rsid w:val="00AB0BC8"/>
    <w:rsid w:val="00AB11CA"/>
    <w:rsid w:val="00AB14D9"/>
    <w:rsid w:val="00AB1A63"/>
    <w:rsid w:val="00AB4AB8"/>
    <w:rsid w:val="00AB655E"/>
    <w:rsid w:val="00AC007F"/>
    <w:rsid w:val="00AC2ECD"/>
    <w:rsid w:val="00AC3119"/>
    <w:rsid w:val="00AC49FB"/>
    <w:rsid w:val="00AC5A10"/>
    <w:rsid w:val="00AC5D75"/>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9DC"/>
    <w:rsid w:val="00B90F73"/>
    <w:rsid w:val="00B93B59"/>
    <w:rsid w:val="00B9406A"/>
    <w:rsid w:val="00BA051B"/>
    <w:rsid w:val="00BA2280"/>
    <w:rsid w:val="00BA2A08"/>
    <w:rsid w:val="00BA56D2"/>
    <w:rsid w:val="00BA6B0F"/>
    <w:rsid w:val="00BA76E0"/>
    <w:rsid w:val="00BB09C0"/>
    <w:rsid w:val="00BB10A7"/>
    <w:rsid w:val="00BB2A25"/>
    <w:rsid w:val="00BB51E9"/>
    <w:rsid w:val="00BC0FDC"/>
    <w:rsid w:val="00BC3053"/>
    <w:rsid w:val="00BC4D2E"/>
    <w:rsid w:val="00BD48AC"/>
    <w:rsid w:val="00BD5F1A"/>
    <w:rsid w:val="00BE095D"/>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A7A"/>
    <w:rsid w:val="00C14D4B"/>
    <w:rsid w:val="00C154BB"/>
    <w:rsid w:val="00C2389F"/>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332D"/>
    <w:rsid w:val="00CB7170"/>
    <w:rsid w:val="00CB7902"/>
    <w:rsid w:val="00CC040E"/>
    <w:rsid w:val="00CC111F"/>
    <w:rsid w:val="00CC2011"/>
    <w:rsid w:val="00CC3EA0"/>
    <w:rsid w:val="00CC61F2"/>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144D3"/>
    <w:rsid w:val="00D239A7"/>
    <w:rsid w:val="00D23F47"/>
    <w:rsid w:val="00D25109"/>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6660"/>
    <w:rsid w:val="00DA305E"/>
    <w:rsid w:val="00DA3F06"/>
    <w:rsid w:val="00DA5417"/>
    <w:rsid w:val="00DA56E8"/>
    <w:rsid w:val="00DB0A9F"/>
    <w:rsid w:val="00DB377D"/>
    <w:rsid w:val="00DC2D36"/>
    <w:rsid w:val="00DC53EF"/>
    <w:rsid w:val="00DE5608"/>
    <w:rsid w:val="00DE58D0"/>
    <w:rsid w:val="00DE654F"/>
    <w:rsid w:val="00DF0B6E"/>
    <w:rsid w:val="00DF15E0"/>
    <w:rsid w:val="00DF37A0"/>
    <w:rsid w:val="00E07131"/>
    <w:rsid w:val="00E110E7"/>
    <w:rsid w:val="00E11B20"/>
    <w:rsid w:val="00E17C44"/>
    <w:rsid w:val="00E17FA2"/>
    <w:rsid w:val="00E22330"/>
    <w:rsid w:val="00E30B5A"/>
    <w:rsid w:val="00E3123D"/>
    <w:rsid w:val="00E31461"/>
    <w:rsid w:val="00E31D43"/>
    <w:rsid w:val="00E32608"/>
    <w:rsid w:val="00E34188"/>
    <w:rsid w:val="00E34B6E"/>
    <w:rsid w:val="00E35559"/>
    <w:rsid w:val="00E3723A"/>
    <w:rsid w:val="00E37860"/>
    <w:rsid w:val="00E4398E"/>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1DBF"/>
    <w:rsid w:val="00EA7A41"/>
    <w:rsid w:val="00EB077B"/>
    <w:rsid w:val="00EB4EA2"/>
    <w:rsid w:val="00EC24D5"/>
    <w:rsid w:val="00EC27C6"/>
    <w:rsid w:val="00EC4207"/>
    <w:rsid w:val="00EC5653"/>
    <w:rsid w:val="00EC71CE"/>
    <w:rsid w:val="00ED1006"/>
    <w:rsid w:val="00EF18FE"/>
    <w:rsid w:val="00EF4555"/>
    <w:rsid w:val="00EF5787"/>
    <w:rsid w:val="00EF60D0"/>
    <w:rsid w:val="00F0528D"/>
    <w:rsid w:val="00F06C67"/>
    <w:rsid w:val="00F06DFD"/>
    <w:rsid w:val="00F071D1"/>
    <w:rsid w:val="00F07533"/>
    <w:rsid w:val="00F10629"/>
    <w:rsid w:val="00F15FA5"/>
    <w:rsid w:val="00F209B7"/>
    <w:rsid w:val="00F225AE"/>
    <w:rsid w:val="00F2376F"/>
    <w:rsid w:val="00F243D8"/>
    <w:rsid w:val="00F25B9F"/>
    <w:rsid w:val="00F30828"/>
    <w:rsid w:val="00F313D6"/>
    <w:rsid w:val="00F40F0C"/>
    <w:rsid w:val="00F413F0"/>
    <w:rsid w:val="00F4766C"/>
    <w:rsid w:val="00F5060E"/>
    <w:rsid w:val="00F507D1"/>
    <w:rsid w:val="00F519CE"/>
    <w:rsid w:val="00F51ADA"/>
    <w:rsid w:val="00F60203"/>
    <w:rsid w:val="00F607C5"/>
    <w:rsid w:val="00F60DEA"/>
    <w:rsid w:val="00F627BD"/>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1D5"/>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bullet1">
    <w:name w:val="bullet1"/>
    <w:basedOn w:val="Normal"/>
    <w:link w:val="bullet1Char"/>
    <w:qFormat/>
    <w:rsid w:val="002C0ACD"/>
    <w:pPr>
      <w:numPr>
        <w:numId w:val="24"/>
      </w:numPr>
      <w:overflowPunct/>
      <w:autoSpaceDE/>
      <w:autoSpaceDN/>
      <w:adjustRightInd/>
      <w:spacing w:after="0" w:line="259" w:lineRule="auto"/>
      <w:textAlignment w:val="auto"/>
    </w:pPr>
    <w:rPr>
      <w:rFonts w:ascii="Times" w:eastAsia="Batang" w:hAnsi="Times" w:cstheme="minorBidi"/>
      <w:sz w:val="22"/>
      <w:szCs w:val="24"/>
      <w:lang w:val="sv-SE" w:eastAsia="en-US"/>
    </w:rPr>
  </w:style>
  <w:style w:type="paragraph" w:customStyle="1" w:styleId="bullet2">
    <w:name w:val="bullet2"/>
    <w:basedOn w:val="Normal"/>
    <w:link w:val="bullet2Char"/>
    <w:qFormat/>
    <w:rsid w:val="002C0ACD"/>
    <w:pPr>
      <w:numPr>
        <w:ilvl w:val="1"/>
        <w:numId w:val="24"/>
      </w:numPr>
      <w:overflowPunct/>
      <w:autoSpaceDE/>
      <w:autoSpaceDN/>
      <w:adjustRightInd/>
      <w:spacing w:after="0" w:line="259" w:lineRule="auto"/>
      <w:textAlignment w:val="auto"/>
    </w:pPr>
    <w:rPr>
      <w:rFonts w:ascii="Times" w:eastAsia="Batang" w:hAnsi="Times" w:cstheme="minorBidi"/>
      <w:sz w:val="22"/>
      <w:szCs w:val="24"/>
      <w:lang w:val="sv-SE" w:eastAsia="en-US"/>
    </w:rPr>
  </w:style>
  <w:style w:type="character" w:customStyle="1" w:styleId="bullet1Char">
    <w:name w:val="bullet1 Char"/>
    <w:link w:val="bullet1"/>
    <w:rsid w:val="002C0ACD"/>
    <w:rPr>
      <w:rFonts w:ascii="Times" w:eastAsia="Batang" w:hAnsi="Times" w:cstheme="minorBidi"/>
      <w:sz w:val="22"/>
      <w:szCs w:val="24"/>
      <w:lang w:val="sv-SE" w:eastAsia="en-US"/>
    </w:rPr>
  </w:style>
  <w:style w:type="paragraph" w:customStyle="1" w:styleId="bullet3">
    <w:name w:val="bullet3"/>
    <w:basedOn w:val="Normal"/>
    <w:qFormat/>
    <w:rsid w:val="002C0ACD"/>
    <w:pPr>
      <w:numPr>
        <w:ilvl w:val="2"/>
        <w:numId w:val="24"/>
      </w:numPr>
      <w:overflowPunct/>
      <w:autoSpaceDE/>
      <w:autoSpaceDN/>
      <w:adjustRightInd/>
      <w:spacing w:after="0" w:line="259" w:lineRule="auto"/>
      <w:ind w:hanging="180"/>
      <w:textAlignment w:val="auto"/>
    </w:pPr>
    <w:rPr>
      <w:rFonts w:ascii="Times" w:eastAsia="Batang" w:hAnsi="Times" w:cstheme="minorBidi"/>
      <w:sz w:val="22"/>
      <w:szCs w:val="24"/>
      <w:lang w:val="sv-SE" w:eastAsia="en-US"/>
    </w:rPr>
  </w:style>
  <w:style w:type="paragraph" w:customStyle="1" w:styleId="bullet4">
    <w:name w:val="bullet4"/>
    <w:basedOn w:val="Normal"/>
    <w:qFormat/>
    <w:rsid w:val="002C0ACD"/>
    <w:pPr>
      <w:numPr>
        <w:ilvl w:val="3"/>
        <w:numId w:val="24"/>
      </w:numPr>
      <w:overflowPunct/>
      <w:autoSpaceDE/>
      <w:autoSpaceDN/>
      <w:adjustRightInd/>
      <w:spacing w:after="0" w:line="259" w:lineRule="auto"/>
      <w:textAlignment w:val="auto"/>
    </w:pPr>
    <w:rPr>
      <w:rFonts w:ascii="Times" w:eastAsia="Batang" w:hAnsi="Times" w:cstheme="minorBidi"/>
      <w:sz w:val="22"/>
      <w:szCs w:val="24"/>
      <w:lang w:val="sv-SE" w:eastAsia="en-US"/>
    </w:rPr>
  </w:style>
  <w:style w:type="character" w:customStyle="1" w:styleId="bullet2Char">
    <w:name w:val="bullet2 Char"/>
    <w:link w:val="bullet2"/>
    <w:rsid w:val="002C0ACD"/>
    <w:rPr>
      <w:rFonts w:ascii="Times" w:eastAsia="Batang" w:hAnsi="Times" w:cstheme="minorBidi"/>
      <w:sz w:val="22"/>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1D5A15-0AE3-4DF2-AD0E-6548ED5C3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2019-01-11T17:17:00Z</dcterms:created>
  <dcterms:modified xsi:type="dcterms:W3CDTF">2019-01-11T17:17:00Z</dcterms:modified>
  <cp:category/>
</cp:coreProperties>
</file>